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DB" w:rsidRPr="002D759F" w:rsidRDefault="002D759F" w:rsidP="002D759F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Практическая работа № 3</w:t>
      </w:r>
    </w:p>
    <w:p w:rsidR="00131755" w:rsidRPr="002D759F" w:rsidRDefault="00131755" w:rsidP="002D759F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Гео</w:t>
      </w:r>
      <w:r w:rsidR="002D759F"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химия и гео</w:t>
      </w: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физика ландшафтов</w:t>
      </w:r>
    </w:p>
    <w:p w:rsidR="007016DB" w:rsidRPr="002D759F" w:rsidRDefault="007016DB" w:rsidP="002D759F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 xml:space="preserve">Вертикальные границы ПТК и </w:t>
      </w:r>
      <w:proofErr w:type="spellStart"/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геогоризонты</w:t>
      </w:r>
      <w:proofErr w:type="spellEnd"/>
    </w:p>
    <w:p w:rsidR="00131755" w:rsidRPr="002D759F" w:rsidRDefault="00131755" w:rsidP="007016DB">
      <w:pPr>
        <w:autoSpaceDE w:val="0"/>
        <w:autoSpaceDN w:val="0"/>
        <w:adjustRightInd w:val="0"/>
        <w:ind w:firstLine="720"/>
        <w:rPr>
          <w:rFonts w:eastAsiaTheme="minorEastAsia"/>
          <w:b/>
          <w:i/>
          <w:color w:val="0D0D0D" w:themeColor="text1" w:themeTint="F2"/>
          <w:sz w:val="24"/>
          <w:szCs w:val="24"/>
          <w:lang w:eastAsia="ru-RU"/>
        </w:rPr>
      </w:pPr>
    </w:p>
    <w:p w:rsidR="007016DB" w:rsidRPr="002D759F" w:rsidRDefault="007016DB" w:rsidP="007016DB">
      <w:pPr>
        <w:autoSpaceDE w:val="0"/>
        <w:autoSpaceDN w:val="0"/>
        <w:adjustRightInd w:val="0"/>
        <w:ind w:firstLine="72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i/>
          <w:color w:val="0D0D0D" w:themeColor="text1" w:themeTint="F2"/>
          <w:sz w:val="24"/>
          <w:szCs w:val="24"/>
          <w:lang w:eastAsia="ru-RU"/>
        </w:rPr>
        <w:t>Цель работы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: формирование умений выделения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 их индексации.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b/>
          <w:i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i/>
          <w:color w:val="0D0D0D" w:themeColor="text1" w:themeTint="F2"/>
          <w:sz w:val="24"/>
          <w:szCs w:val="24"/>
          <w:lang w:eastAsia="ru-RU"/>
        </w:rPr>
        <w:t>Ход работы: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1)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Зарисовать профиль природно-территориального ком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плекса по его описанию. </w:t>
      </w:r>
      <w:r w:rsidR="002D759F"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П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рофил</w:t>
      </w:r>
      <w:r w:rsidR="002D759F"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ь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представляет собой рисунок, на который цветными карандашами путем отдельных условных обозначений наносятся различные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Например, транспортно-скелетные органы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ветки и стволы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наносятся коричневым цветом,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мезофитная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хвоя </w:t>
      </w:r>
      <w:proofErr w:type="gramStart"/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 темно</w:t>
      </w:r>
      <w:proofErr w:type="gram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-зеленым, а листья и стебли травянистых растений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бледно-зеленым.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В одних случаях при зарисовке используется один и тот же масштаб для всего вертикального профиля ПТК. В других при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ходится делать две зарисовки: одну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для всего профиля, а другую (в более крупном масштабе)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для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припочвенного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(при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поверхностного) слоя ПТК.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2)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Выделить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При выделении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основным критерием является набор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Изменение этого набора свидетельствует о появлении нового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Например, если в вертикальном профиле ПТК после слоя, в котором преобладают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аэромассы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 транспортно-скелетные органы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фитомассы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, начинается слой с новой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геомассой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листьев, то это свидетельствует о переходе одного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в другой. При этом с этой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массой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будет связано наличие целого рода специфичных про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цессов функционирования, не свойственных вышележащему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горизонту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</w:t>
      </w:r>
      <w:r w:rsidRPr="002D759F">
        <w:rPr>
          <w:color w:val="0D0D0D" w:themeColor="text1" w:themeTint="F2"/>
          <w:sz w:val="24"/>
          <w:szCs w:val="24"/>
        </w:rPr>
        <w:t xml:space="preserve">Другой пример — если в подземной части вертикального профиля ПТК будет обнаружено наличие гидромасс, то это тоже будет свидетельствовать о новом </w:t>
      </w:r>
      <w:proofErr w:type="spellStart"/>
      <w:r w:rsidRPr="002D759F">
        <w:rPr>
          <w:color w:val="0D0D0D" w:themeColor="text1" w:themeTint="F2"/>
          <w:sz w:val="24"/>
          <w:szCs w:val="24"/>
        </w:rPr>
        <w:t>геогоризонте</w:t>
      </w:r>
      <w:proofErr w:type="spellEnd"/>
      <w:r w:rsidRPr="002D759F">
        <w:rPr>
          <w:color w:val="0D0D0D" w:themeColor="text1" w:themeTint="F2"/>
          <w:sz w:val="24"/>
          <w:szCs w:val="24"/>
        </w:rPr>
        <w:t>.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В результате анализа вертикального профиля на зарисовке выделяются параллельные земной поверхности слои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, которые отлича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ются друг от друга: 1) набором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; 2) различием и соотношении отдельных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(например, преобладанием гидромасс над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фитомассами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или наоборот; 3) текстурно-структур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ными особенностями.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3)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Отметить индексы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При индексации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соб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людают определенные «грамматические» правила. Заглавными буквами всегда пишутся классы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(лито-,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педо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-, фито-,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зоо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-,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гидро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- и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аэромассы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). Они не разделяются запятой, тогда как индексы более дробных подразделений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типов и родов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, которые состоят из одной или двух строчных букв, пишут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ся в пределах соответствующих классов и разделяются запя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тыми. В формуле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классы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располагаются в порядке уменьшения их массы. На первое место ставится самая «тяжелая»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, затем вторая по массе и т.д. 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Для каждой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геомассы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в виде верхнего индекса ставится число, обозначающее для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фитомасс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мортмасс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проективное покрытие в процентах, а для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литомасс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педомасс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их объемную долю (в процентах) от объема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Для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аэромасс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и гидромасс ни проективное покрытие, ни объем не указываются, так как они имеют аморфную форму. В конце формулы за раз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делительной чертой ставятся цифры, обозначающие верх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нюю и нижнюю границы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. При написании формул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следует избегать их громоздкости. 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Приведем пример формулы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: А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m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Pt</w:t>
      </w:r>
      <w:r w:rsidRPr="002D759F">
        <w:rPr>
          <w:rFonts w:eastAsiaTheme="minorEastAsia"/>
          <w:color w:val="0D0D0D" w:themeColor="text1" w:themeTint="F2"/>
          <w:sz w:val="24"/>
          <w:szCs w:val="24"/>
          <w:vertAlign w:val="superscript"/>
          <w:lang w:eastAsia="ru-RU"/>
        </w:rPr>
        <w:t>1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, 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f</w:t>
      </w:r>
      <w:r w:rsidRPr="002D759F">
        <w:rPr>
          <w:rFonts w:eastAsiaTheme="minorEastAsia"/>
          <w:color w:val="0D0D0D" w:themeColor="text1" w:themeTint="F2"/>
          <w:sz w:val="24"/>
          <w:szCs w:val="24"/>
          <w:vertAlign w:val="superscript"/>
          <w:lang w:eastAsia="ru-RU"/>
        </w:rPr>
        <w:t xml:space="preserve">60 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|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24"/>
                <w:szCs w:val="24"/>
                <w:lang w:eastAsia="ru-RU"/>
              </w:rPr>
            </m:ctrlPr>
          </m:mPr>
          <m:mr>
            <m:e>
              <m:r>
                <w:rPr>
                  <w:rFonts w:ascii="Cambria Math" w:eastAsiaTheme="minorEastAsia"/>
                  <w:color w:val="0D0D0D" w:themeColor="text1" w:themeTint="F2"/>
                  <w:sz w:val="24"/>
                  <w:szCs w:val="24"/>
                  <w:lang w:eastAsia="ru-RU"/>
                </w:rPr>
                <m:t>25</m:t>
              </m:r>
            </m:e>
          </m:mr>
          <m:mr>
            <m:e>
              <m:r>
                <w:rPr>
                  <w:rFonts w:ascii="Cambria Math" w:eastAsiaTheme="minorEastAsia"/>
                  <w:color w:val="0D0D0D" w:themeColor="text1" w:themeTint="F2"/>
                  <w:sz w:val="24"/>
                  <w:szCs w:val="24"/>
                  <w:lang w:eastAsia="ru-RU"/>
                </w:rPr>
                <m:t>15</m:t>
              </m:r>
            </m:e>
          </m:mr>
        </m:m>
      </m:oMath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Как видно из формулы,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состоит из двух классов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: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аэромасс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(А) и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фитомасс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(Р). Первый класс представ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 xml:space="preserve">лен только одним типом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макротермальными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аэромассами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А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m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, тогда как второй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двумя типами: транспортно-скелетными орга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нами (Р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t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) с проективным покрытием 1% и однолетними листьями (Р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f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) с проективным покрытием 60%. В формуле индекс класса (Р) второй раз опущен и индекс типа (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f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) отделен от предыду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softHyphen/>
        <w:t>щего типа (</w:t>
      </w:r>
      <w:r w:rsidRPr="002D759F">
        <w:rPr>
          <w:rFonts w:eastAsiaTheme="minorEastAsia"/>
          <w:color w:val="0D0D0D" w:themeColor="text1" w:themeTint="F2"/>
          <w:sz w:val="24"/>
          <w:szCs w:val="24"/>
          <w:lang w:val="en-US" w:eastAsia="ru-RU"/>
        </w:rPr>
        <w:t>t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) запятой. Верхняя граница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проходит на высоте 25, а нижняя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15 м.</w:t>
      </w:r>
    </w:p>
    <w:p w:rsidR="007016DB" w:rsidRPr="002D759F" w:rsidRDefault="007016DB" w:rsidP="007016DB">
      <w:pPr>
        <w:autoSpaceDE w:val="0"/>
        <w:autoSpaceDN w:val="0"/>
        <w:adjustRightInd w:val="0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rFonts w:eastAsiaTheme="minorEastAsia"/>
          <w:b/>
          <w:color w:val="0D0D0D" w:themeColor="text1" w:themeTint="F2"/>
          <w:sz w:val="24"/>
          <w:szCs w:val="24"/>
          <w:lang w:eastAsia="ru-RU"/>
        </w:rPr>
        <w:t>4)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Дать характеристику вертикальной структуры по сложности:</w:t>
      </w:r>
    </w:p>
    <w:p w:rsidR="007016DB" w:rsidRPr="002D759F" w:rsidRDefault="007016DB" w:rsidP="007016DB">
      <w:pPr>
        <w:autoSpaceDE w:val="0"/>
        <w:autoSpaceDN w:val="0"/>
        <w:adjustRightInd w:val="0"/>
        <w:ind w:firstLine="1134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</w:rPr>
        <w:t>– п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римитивные структуры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2-3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геогоризонта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;</w:t>
      </w:r>
    </w:p>
    <w:p w:rsidR="007016DB" w:rsidRPr="002D759F" w:rsidRDefault="007016DB" w:rsidP="007016DB">
      <w:pPr>
        <w:autoSpaceDE w:val="0"/>
        <w:autoSpaceDN w:val="0"/>
        <w:adjustRightInd w:val="0"/>
        <w:ind w:firstLine="1134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</w:rPr>
        <w:t>– п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ростой сложности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4-5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;</w:t>
      </w:r>
    </w:p>
    <w:p w:rsidR="007016DB" w:rsidRPr="002D759F" w:rsidRDefault="007016DB" w:rsidP="007016DB">
      <w:pPr>
        <w:autoSpaceDE w:val="0"/>
        <w:autoSpaceDN w:val="0"/>
        <w:adjustRightInd w:val="0"/>
        <w:ind w:firstLine="1134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</w:rPr>
        <w:t>– с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редней сложности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6-7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;</w:t>
      </w:r>
    </w:p>
    <w:p w:rsidR="007016DB" w:rsidRPr="002D759F" w:rsidRDefault="007016DB" w:rsidP="007016DB">
      <w:pPr>
        <w:autoSpaceDE w:val="0"/>
        <w:autoSpaceDN w:val="0"/>
        <w:adjustRightInd w:val="0"/>
        <w:ind w:firstLine="1134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</w:rPr>
        <w:t>– п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овышенной сложности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8-9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;</w:t>
      </w:r>
    </w:p>
    <w:p w:rsidR="007016DB" w:rsidRPr="002D759F" w:rsidRDefault="007016DB" w:rsidP="007016DB">
      <w:pPr>
        <w:autoSpaceDE w:val="0"/>
        <w:autoSpaceDN w:val="0"/>
        <w:adjustRightInd w:val="0"/>
        <w:ind w:firstLine="1134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</w:rPr>
        <w:t>– б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ольшой сложности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10-11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;</w:t>
      </w:r>
    </w:p>
    <w:p w:rsidR="007016DB" w:rsidRPr="002D759F" w:rsidRDefault="007016DB" w:rsidP="007016DB">
      <w:pPr>
        <w:autoSpaceDE w:val="0"/>
        <w:autoSpaceDN w:val="0"/>
        <w:adjustRightInd w:val="0"/>
        <w:ind w:firstLine="1134"/>
        <w:rPr>
          <w:rFonts w:eastAsiaTheme="minorEastAsia"/>
          <w:color w:val="0D0D0D" w:themeColor="text1" w:themeTint="F2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очень большой сложности </w:t>
      </w:r>
      <w:r w:rsidRPr="002D759F">
        <w:rPr>
          <w:color w:val="0D0D0D" w:themeColor="text1" w:themeTint="F2"/>
          <w:sz w:val="24"/>
          <w:szCs w:val="24"/>
        </w:rPr>
        <w:t>–</w:t>
      </w:r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 xml:space="preserve"> 12 </w:t>
      </w:r>
      <w:proofErr w:type="spellStart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геогоризонтов</w:t>
      </w:r>
      <w:proofErr w:type="spellEnd"/>
      <w:r w:rsidRPr="002D759F">
        <w:rPr>
          <w:rFonts w:eastAsiaTheme="minorEastAsia"/>
          <w:color w:val="0D0D0D" w:themeColor="text1" w:themeTint="F2"/>
          <w:sz w:val="24"/>
          <w:szCs w:val="24"/>
          <w:lang w:eastAsia="ru-RU"/>
        </w:rPr>
        <w:t>.</w:t>
      </w:r>
    </w:p>
    <w:p w:rsidR="007016DB" w:rsidRPr="002D759F" w:rsidRDefault="007016DB" w:rsidP="002C27A6">
      <w:pPr>
        <w:rPr>
          <w:color w:val="0D0D0D" w:themeColor="text1" w:themeTint="F2"/>
          <w:sz w:val="24"/>
          <w:szCs w:val="24"/>
        </w:rPr>
      </w:pPr>
    </w:p>
    <w:p w:rsidR="001939FF" w:rsidRPr="002D759F" w:rsidRDefault="00B572E5" w:rsidP="002D759F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</w:rPr>
        <w:t>ПРИЛОЖЕНИЕ</w:t>
      </w:r>
    </w:p>
    <w:p w:rsidR="00FE45A8" w:rsidRPr="002D759F" w:rsidRDefault="00FE45A8" w:rsidP="00FE45A8">
      <w:pPr>
        <w:ind w:firstLine="0"/>
        <w:jc w:val="center"/>
        <w:rPr>
          <w:b/>
          <w:color w:val="0D0D0D" w:themeColor="text1" w:themeTint="F2"/>
          <w:sz w:val="24"/>
          <w:szCs w:val="24"/>
        </w:rPr>
      </w:pPr>
      <w:r w:rsidRPr="002D759F">
        <w:rPr>
          <w:b/>
          <w:color w:val="0D0D0D" w:themeColor="text1" w:themeTint="F2"/>
          <w:sz w:val="24"/>
          <w:szCs w:val="24"/>
        </w:rPr>
        <w:t xml:space="preserve">Элементарные структурно-функциональные части ПТК </w:t>
      </w:r>
    </w:p>
    <w:p w:rsidR="00FE45A8" w:rsidRPr="002D759F" w:rsidRDefault="00FE45A8" w:rsidP="00FE45A8">
      <w:pPr>
        <w:ind w:firstLine="0"/>
        <w:jc w:val="center"/>
        <w:rPr>
          <w:b/>
          <w:color w:val="0D0D0D" w:themeColor="text1" w:themeTint="F2"/>
          <w:sz w:val="24"/>
          <w:szCs w:val="24"/>
        </w:rPr>
      </w:pPr>
      <w:r w:rsidRPr="002D759F">
        <w:rPr>
          <w:b/>
          <w:color w:val="0D0D0D" w:themeColor="text1" w:themeTint="F2"/>
          <w:sz w:val="24"/>
          <w:szCs w:val="24"/>
        </w:rPr>
        <w:t>(</w:t>
      </w:r>
      <w:proofErr w:type="spellStart"/>
      <w:r w:rsidRPr="002D759F">
        <w:rPr>
          <w:b/>
          <w:color w:val="0D0D0D" w:themeColor="text1" w:themeTint="F2"/>
          <w:sz w:val="24"/>
          <w:szCs w:val="24"/>
        </w:rPr>
        <w:t>геомассы</w:t>
      </w:r>
      <w:proofErr w:type="spellEnd"/>
      <w:r w:rsidRPr="002D759F">
        <w:rPr>
          <w:b/>
          <w:color w:val="0D0D0D" w:themeColor="text1" w:themeTint="F2"/>
          <w:sz w:val="24"/>
          <w:szCs w:val="24"/>
        </w:rPr>
        <w:t>) и их индексы</w:t>
      </w:r>
    </w:p>
    <w:p w:rsidR="00FE45A8" w:rsidRPr="002D759F" w:rsidRDefault="00FE45A8" w:rsidP="00FE45A8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</w:rPr>
        <w:t xml:space="preserve">А – </w:t>
      </w:r>
      <w:proofErr w:type="spellStart"/>
      <w:r w:rsidRPr="002D759F">
        <w:rPr>
          <w:b/>
          <w:i/>
          <w:color w:val="0D0D0D" w:themeColor="text1" w:themeTint="F2"/>
          <w:sz w:val="24"/>
          <w:szCs w:val="24"/>
        </w:rPr>
        <w:t>Аэромассы</w:t>
      </w:r>
      <w:proofErr w:type="spellEnd"/>
    </w:p>
    <w:p w:rsidR="002D759F" w:rsidRDefault="002D759F" w:rsidP="00FE45A8">
      <w:pPr>
        <w:ind w:firstLine="0"/>
        <w:rPr>
          <w:i/>
          <w:color w:val="0D0D0D" w:themeColor="text1" w:themeTint="F2"/>
          <w:sz w:val="24"/>
          <w:szCs w:val="24"/>
          <w:lang w:val="en-US"/>
        </w:rPr>
        <w:sectPr w:rsidR="002D759F" w:rsidSect="002D759F">
          <w:type w:val="continuous"/>
          <w:pgSz w:w="11909" w:h="16834"/>
          <w:pgMar w:top="568" w:right="569" w:bottom="709" w:left="1701" w:header="720" w:footer="720" w:gutter="0"/>
          <w:cols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Ag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криотермальные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(морозные)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An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нанотермальные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(очень прохладные)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proofErr w:type="gramStart"/>
      <w:r w:rsidRPr="002D759F">
        <w:rPr>
          <w:i/>
          <w:color w:val="0D0D0D" w:themeColor="text1" w:themeTint="F2"/>
          <w:sz w:val="24"/>
          <w:szCs w:val="24"/>
          <w:lang w:val="en-US"/>
        </w:rPr>
        <w:t>Ak</w:t>
      </w:r>
      <w:proofErr w:type="spellEnd"/>
      <w:proofErr w:type="gramEnd"/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микротермальные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(прохладные) 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As</w:t>
      </w:r>
      <w:r w:rsidRPr="002D759F">
        <w:rPr>
          <w:color w:val="0D0D0D" w:themeColor="text1" w:themeTint="F2"/>
          <w:sz w:val="24"/>
          <w:szCs w:val="24"/>
        </w:rPr>
        <w:t xml:space="preserve"> – мезотермальные (умеренно теплые)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Am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макротермальные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(теплые) 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At</w:t>
      </w:r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 xml:space="preserve">– </w:t>
      </w:r>
      <w:proofErr w:type="spellStart"/>
      <w:r w:rsidRPr="002D759F">
        <w:rPr>
          <w:color w:val="0D0D0D" w:themeColor="text1" w:themeTint="F2"/>
          <w:sz w:val="24"/>
          <w:szCs w:val="24"/>
        </w:rPr>
        <w:t>мегатермальные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(жаркие)</w:t>
      </w:r>
    </w:p>
    <w:p w:rsidR="002D759F" w:rsidRDefault="002D759F" w:rsidP="00FE45A8">
      <w:pPr>
        <w:ind w:firstLine="0"/>
        <w:rPr>
          <w:color w:val="0D0D0D" w:themeColor="text1" w:themeTint="F2"/>
          <w:sz w:val="24"/>
          <w:szCs w:val="24"/>
        </w:rPr>
        <w:sectPr w:rsidR="002D759F" w:rsidSect="002D759F">
          <w:type w:val="continuous"/>
          <w:pgSz w:w="11909" w:h="16834"/>
          <w:pgMar w:top="568" w:right="569" w:bottom="709" w:left="1701" w:header="720" w:footer="720" w:gutter="0"/>
          <w:cols w:num="2"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</w:p>
    <w:p w:rsidR="00FE45A8" w:rsidRPr="002D759F" w:rsidRDefault="00FE45A8" w:rsidP="00FE45A8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</w:rPr>
        <w:t xml:space="preserve">Р – </w:t>
      </w:r>
      <w:proofErr w:type="spellStart"/>
      <w:r w:rsidRPr="002D759F">
        <w:rPr>
          <w:b/>
          <w:i/>
          <w:color w:val="0D0D0D" w:themeColor="text1" w:themeTint="F2"/>
          <w:sz w:val="24"/>
          <w:szCs w:val="24"/>
        </w:rPr>
        <w:t>Фитомассы</w:t>
      </w:r>
      <w:proofErr w:type="spellEnd"/>
    </w:p>
    <w:p w:rsidR="002D759F" w:rsidRPr="002D759F" w:rsidRDefault="002D759F" w:rsidP="00FE45A8">
      <w:pPr>
        <w:ind w:firstLine="0"/>
        <w:rPr>
          <w:i/>
          <w:color w:val="0D0D0D" w:themeColor="text1" w:themeTint="F2"/>
          <w:sz w:val="24"/>
          <w:szCs w:val="24"/>
          <w:lang w:val="en-US"/>
        </w:rPr>
        <w:sectPr w:rsidR="002D759F" w:rsidRPr="002D759F" w:rsidSect="002D759F">
          <w:type w:val="continuous"/>
          <w:pgSz w:w="11909" w:h="16834"/>
          <w:pgMar w:top="568" w:right="569" w:bottom="709" w:left="1701" w:header="720" w:footer="720" w:gutter="0"/>
          <w:cols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Pf</w:t>
      </w:r>
      <w:r w:rsidRPr="002D759F">
        <w:rPr>
          <w:b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Листья однолетние древесно-кустарниковых растений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Pl</w:t>
      </w:r>
      <w:r w:rsidRPr="002D759F">
        <w:rPr>
          <w:color w:val="0D0D0D" w:themeColor="text1" w:themeTint="F2"/>
          <w:sz w:val="24"/>
          <w:szCs w:val="24"/>
        </w:rPr>
        <w:t xml:space="preserve"> – Листья многолетние древесно-кустарниковых растений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Pll</w:t>
      </w:r>
      <w:proofErr w:type="spellEnd"/>
      <w:r w:rsidRPr="002D759F">
        <w:rPr>
          <w:b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лавровые (самшит, рододендрон, лавр)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Pld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жестколистные (земляничное дерево)</w:t>
      </w:r>
    </w:p>
    <w:p w:rsidR="00FE45A8" w:rsidRPr="002D759F" w:rsidRDefault="00FE45A8" w:rsidP="00FE45A8">
      <w:pPr>
        <w:tabs>
          <w:tab w:val="left" w:pos="3261"/>
        </w:tabs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Ple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вересковидные</w:t>
      </w:r>
      <w:proofErr w:type="spellEnd"/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Ph</w:t>
      </w:r>
      <w:r w:rsidRPr="002D759F">
        <w:rPr>
          <w:color w:val="0D0D0D" w:themeColor="text1" w:themeTint="F2"/>
          <w:sz w:val="24"/>
          <w:szCs w:val="24"/>
        </w:rPr>
        <w:t xml:space="preserve"> – Хвойные листья</w:t>
      </w:r>
    </w:p>
    <w:p w:rsidR="002D759F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Phm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многолетние </w:t>
      </w:r>
      <w:proofErr w:type="spellStart"/>
      <w:r w:rsidRPr="002D759F">
        <w:rPr>
          <w:color w:val="0D0D0D" w:themeColor="text1" w:themeTint="F2"/>
          <w:sz w:val="24"/>
          <w:szCs w:val="24"/>
        </w:rPr>
        <w:t>мезофитные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</w:rPr>
        <w:t xml:space="preserve">(ель, пихта, сосна, </w:t>
      </w:r>
      <w:proofErr w:type="spellStart"/>
      <w:r w:rsidRPr="002D759F">
        <w:rPr>
          <w:color w:val="0D0D0D" w:themeColor="text1" w:themeTint="F2"/>
          <w:sz w:val="24"/>
          <w:szCs w:val="24"/>
        </w:rPr>
        <w:t>тисс</w:t>
      </w:r>
      <w:proofErr w:type="spellEnd"/>
      <w:r w:rsidRPr="002D759F">
        <w:rPr>
          <w:color w:val="0D0D0D" w:themeColor="text1" w:themeTint="F2"/>
          <w:sz w:val="24"/>
          <w:szCs w:val="24"/>
        </w:rPr>
        <w:t>)</w:t>
      </w:r>
    </w:p>
    <w:p w:rsidR="002D759F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Phx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 xml:space="preserve">– многолетние ксерофитные 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</w:rPr>
        <w:t>(можжевельник)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Ph</w:t>
      </w:r>
      <w:r w:rsidRPr="002D759F">
        <w:rPr>
          <w:color w:val="0D0D0D" w:themeColor="text1" w:themeTint="F2"/>
          <w:sz w:val="24"/>
          <w:szCs w:val="24"/>
        </w:rPr>
        <w:t xml:space="preserve"> – однолетние </w:t>
      </w:r>
      <w:proofErr w:type="spellStart"/>
      <w:r w:rsidRPr="002D759F">
        <w:rPr>
          <w:color w:val="0D0D0D" w:themeColor="text1" w:themeTint="F2"/>
          <w:sz w:val="24"/>
          <w:szCs w:val="24"/>
        </w:rPr>
        <w:t>мезофитные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(лиственница)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Pi</w:t>
      </w:r>
      <w:r w:rsidRPr="002D759F">
        <w:rPr>
          <w:color w:val="0D0D0D" w:themeColor="text1" w:themeTint="F2"/>
          <w:sz w:val="24"/>
          <w:szCs w:val="24"/>
        </w:rPr>
        <w:t xml:space="preserve"> – Листья и стебли травянистых растений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Pih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гидрофитные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Pig</w:t>
      </w:r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 xml:space="preserve">– </w:t>
      </w:r>
      <w:proofErr w:type="spellStart"/>
      <w:r w:rsidRPr="002D759F">
        <w:rPr>
          <w:color w:val="0D0D0D" w:themeColor="text1" w:themeTint="F2"/>
          <w:sz w:val="24"/>
          <w:szCs w:val="24"/>
        </w:rPr>
        <w:t>гигрофитные</w:t>
      </w:r>
      <w:proofErr w:type="spellEnd"/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Pim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мезофитные</w:t>
      </w:r>
      <w:proofErr w:type="spellEnd"/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Pix</w:t>
      </w:r>
      <w:r w:rsidRPr="002D759F">
        <w:rPr>
          <w:color w:val="0D0D0D" w:themeColor="text1" w:themeTint="F2"/>
          <w:sz w:val="24"/>
          <w:szCs w:val="24"/>
        </w:rPr>
        <w:t xml:space="preserve"> – ксерофитные</w:t>
      </w:r>
    </w:p>
    <w:p w:rsidR="002D759F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proofErr w:type="gramStart"/>
      <w:r w:rsidRPr="002D759F">
        <w:rPr>
          <w:i/>
          <w:color w:val="0D0D0D" w:themeColor="text1" w:themeTint="F2"/>
          <w:sz w:val="24"/>
          <w:szCs w:val="24"/>
          <w:lang w:val="en-US"/>
        </w:rPr>
        <w:t>Px</w:t>
      </w:r>
      <w:proofErr w:type="spellEnd"/>
      <w:proofErr w:type="gram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 xml:space="preserve">– Листья и выполняющие их функцию 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</w:rPr>
        <w:t>зеленые побеги ксерофитных полукустарников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Pxc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фотосинтезирующие колючки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Pxs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листовые суккуленты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Pxa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листья ксерофитов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Pm</w:t>
      </w:r>
      <w:r w:rsidRPr="002D759F">
        <w:rPr>
          <w:color w:val="0D0D0D" w:themeColor="text1" w:themeTint="F2"/>
          <w:sz w:val="24"/>
          <w:szCs w:val="24"/>
        </w:rPr>
        <w:t xml:space="preserve"> – Таллофиты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Pml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лишайники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Pmm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мхи</w:t>
      </w:r>
    </w:p>
    <w:p w:rsidR="002D759F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Pt</w:t>
      </w:r>
      <w:r w:rsidRPr="002D759F">
        <w:rPr>
          <w:color w:val="0D0D0D" w:themeColor="text1" w:themeTint="F2"/>
          <w:sz w:val="24"/>
          <w:szCs w:val="24"/>
        </w:rPr>
        <w:t xml:space="preserve"> – Транспортно-скелетные органы </w:t>
      </w:r>
    </w:p>
    <w:p w:rsidR="002D759F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</w:rPr>
        <w:t xml:space="preserve">древесно-кустарниковых растений 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</w:rPr>
        <w:t>(стволы, ветки)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Ps</w:t>
      </w:r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Корни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Psc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стержневые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Psm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мочковатые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Psp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корнеплоды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Pg</w:t>
      </w:r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Генеративные органы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Pgc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цветы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Pgp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плоды</w:t>
      </w:r>
    </w:p>
    <w:p w:rsidR="002D759F" w:rsidRPr="002D759F" w:rsidRDefault="002D759F" w:rsidP="00FE45A8">
      <w:pPr>
        <w:ind w:firstLine="0"/>
        <w:rPr>
          <w:color w:val="0D0D0D" w:themeColor="text1" w:themeTint="F2"/>
          <w:sz w:val="24"/>
          <w:szCs w:val="24"/>
        </w:rPr>
        <w:sectPr w:rsidR="002D759F" w:rsidRPr="002D759F" w:rsidSect="002D759F">
          <w:type w:val="continuous"/>
          <w:pgSz w:w="11909" w:h="16834"/>
          <w:pgMar w:top="568" w:right="569" w:bottom="1134" w:left="1701" w:header="720" w:footer="720" w:gutter="0"/>
          <w:cols w:num="2"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</w:rPr>
        <w:t xml:space="preserve">М – </w:t>
      </w:r>
      <w:proofErr w:type="spellStart"/>
      <w:r w:rsidRPr="002D759F">
        <w:rPr>
          <w:b/>
          <w:i/>
          <w:color w:val="0D0D0D" w:themeColor="text1" w:themeTint="F2"/>
          <w:sz w:val="24"/>
          <w:szCs w:val="24"/>
        </w:rPr>
        <w:t>Мортмассы</w:t>
      </w:r>
      <w:proofErr w:type="spellEnd"/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Md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Сухостой и мертвые еще не упавшие ветки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Mm</w:t>
      </w:r>
      <w:r w:rsidRPr="002D759F">
        <w:rPr>
          <w:color w:val="0D0D0D" w:themeColor="text1" w:themeTint="F2"/>
          <w:sz w:val="24"/>
          <w:szCs w:val="24"/>
        </w:rPr>
        <w:t xml:space="preserve"> – Ветошь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Mv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Валежник и другой скелетный материал на поверхности почвы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Mt</w:t>
      </w:r>
      <w:r w:rsidRPr="002D759F">
        <w:rPr>
          <w:i/>
          <w:color w:val="0D0D0D" w:themeColor="text1" w:themeTint="F2"/>
          <w:sz w:val="24"/>
          <w:szCs w:val="24"/>
        </w:rPr>
        <w:t xml:space="preserve"> –</w:t>
      </w:r>
      <w:r w:rsidRPr="002D759F">
        <w:rPr>
          <w:color w:val="0D0D0D" w:themeColor="text1" w:themeTint="F2"/>
          <w:sz w:val="24"/>
          <w:szCs w:val="24"/>
        </w:rPr>
        <w:t xml:space="preserve"> Торф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Ml</w:t>
      </w:r>
      <w:r w:rsidRPr="002D759F">
        <w:rPr>
          <w:color w:val="0D0D0D" w:themeColor="text1" w:themeTint="F2"/>
          <w:sz w:val="24"/>
          <w:szCs w:val="24"/>
        </w:rPr>
        <w:t xml:space="preserve"> – Подстилка</w:t>
      </w:r>
    </w:p>
    <w:p w:rsidR="00FE45A8" w:rsidRPr="002D759F" w:rsidRDefault="00FE45A8" w:rsidP="00FE45A8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  <w:lang w:val="en-US"/>
        </w:rPr>
        <w:t>S</w:t>
      </w:r>
      <w:r w:rsidRPr="002D759F">
        <w:rPr>
          <w:b/>
          <w:i/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b/>
          <w:i/>
          <w:color w:val="0D0D0D" w:themeColor="text1" w:themeTint="F2"/>
          <w:sz w:val="24"/>
          <w:szCs w:val="24"/>
        </w:rPr>
        <w:t>Педомассы</w:t>
      </w:r>
      <w:proofErr w:type="spellEnd"/>
    </w:p>
    <w:p w:rsidR="002D759F" w:rsidRPr="002D759F" w:rsidRDefault="002D759F" w:rsidP="00FE45A8">
      <w:pPr>
        <w:ind w:firstLine="0"/>
        <w:rPr>
          <w:i/>
          <w:color w:val="0D0D0D" w:themeColor="text1" w:themeTint="F2"/>
          <w:sz w:val="24"/>
          <w:szCs w:val="24"/>
          <w:lang w:val="en-US"/>
        </w:rPr>
        <w:sectPr w:rsidR="002D759F" w:rsidRPr="002D759F" w:rsidSect="00B572E5">
          <w:type w:val="continuous"/>
          <w:pgSz w:w="11909" w:h="16834"/>
          <w:pgMar w:top="568" w:right="569" w:bottom="1134" w:left="1701" w:header="720" w:footer="720" w:gutter="0"/>
          <w:cols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gramStart"/>
      <w:r w:rsidRPr="002D759F">
        <w:rPr>
          <w:i/>
          <w:color w:val="0D0D0D" w:themeColor="text1" w:themeTint="F2"/>
          <w:sz w:val="24"/>
          <w:szCs w:val="24"/>
          <w:lang w:val="en-US"/>
        </w:rPr>
        <w:t>Sa</w:t>
      </w:r>
      <w:proofErr w:type="gram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Глинистые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Ss</w:t>
      </w:r>
      <w:r w:rsidRPr="002D759F">
        <w:rPr>
          <w:color w:val="0D0D0D" w:themeColor="text1" w:themeTint="F2"/>
          <w:sz w:val="24"/>
          <w:szCs w:val="24"/>
        </w:rPr>
        <w:t xml:space="preserve"> – Суглинистые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Sas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тяжелосуглинистые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Sss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среднесуглинистые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proofErr w:type="spellStart"/>
      <w:proofErr w:type="gramStart"/>
      <w:r w:rsidRPr="002D759F">
        <w:rPr>
          <w:i/>
          <w:color w:val="0D0D0D" w:themeColor="text1" w:themeTint="F2"/>
          <w:sz w:val="24"/>
          <w:szCs w:val="24"/>
          <w:lang w:val="en-US"/>
        </w:rPr>
        <w:t>Ssa</w:t>
      </w:r>
      <w:proofErr w:type="spellEnd"/>
      <w:proofErr w:type="gramEnd"/>
      <w:r w:rsidRPr="002D759F">
        <w:rPr>
          <w:color w:val="0D0D0D" w:themeColor="text1" w:themeTint="F2"/>
          <w:sz w:val="24"/>
          <w:szCs w:val="24"/>
        </w:rPr>
        <w:t xml:space="preserve"> – легкосуглинистые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Sc</w:t>
      </w:r>
      <w:r w:rsidRPr="002D759F">
        <w:rPr>
          <w:color w:val="0D0D0D" w:themeColor="text1" w:themeTint="F2"/>
          <w:sz w:val="24"/>
          <w:szCs w:val="24"/>
        </w:rPr>
        <w:t xml:space="preserve"> – Супесчаные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Sp</w:t>
      </w:r>
      <w:r w:rsidRPr="002D759F">
        <w:rPr>
          <w:color w:val="0D0D0D" w:themeColor="text1" w:themeTint="F2"/>
          <w:sz w:val="24"/>
          <w:szCs w:val="24"/>
        </w:rPr>
        <w:t xml:space="preserve"> – Песчаные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S</w:t>
      </w:r>
      <w:r w:rsidRPr="002D759F">
        <w:rPr>
          <w:i/>
          <w:color w:val="0D0D0D" w:themeColor="text1" w:themeTint="F2"/>
          <w:sz w:val="24"/>
          <w:szCs w:val="24"/>
        </w:rPr>
        <w:t>’”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высокогумусовые</w:t>
      </w:r>
      <w:proofErr w:type="spellEnd"/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S</w:t>
      </w:r>
      <w:r w:rsidRPr="002D759F">
        <w:rPr>
          <w:i/>
          <w:color w:val="0D0D0D" w:themeColor="text1" w:themeTint="F2"/>
          <w:sz w:val="24"/>
          <w:szCs w:val="24"/>
        </w:rPr>
        <w:t>”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среднегумусовые</w:t>
      </w:r>
      <w:proofErr w:type="spellEnd"/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S</w:t>
      </w:r>
      <w:r w:rsidRPr="002D759F">
        <w:rPr>
          <w:i/>
          <w:color w:val="0D0D0D" w:themeColor="text1" w:themeTint="F2"/>
          <w:sz w:val="24"/>
          <w:szCs w:val="24"/>
        </w:rPr>
        <w:t>’</w:t>
      </w:r>
      <w:r w:rsidRPr="002D759F">
        <w:rPr>
          <w:color w:val="0D0D0D" w:themeColor="text1" w:themeTint="F2"/>
          <w:sz w:val="24"/>
          <w:szCs w:val="24"/>
        </w:rPr>
        <w:t xml:space="preserve"> – малогумусовые</w:t>
      </w:r>
    </w:p>
    <w:p w:rsidR="002D759F" w:rsidRPr="002D759F" w:rsidRDefault="002D759F" w:rsidP="00FE45A8">
      <w:pPr>
        <w:ind w:firstLine="0"/>
        <w:rPr>
          <w:color w:val="0D0D0D" w:themeColor="text1" w:themeTint="F2"/>
          <w:sz w:val="24"/>
          <w:szCs w:val="24"/>
        </w:rPr>
        <w:sectPr w:rsidR="002D759F" w:rsidRPr="002D759F" w:rsidSect="002D759F">
          <w:type w:val="continuous"/>
          <w:pgSz w:w="11909" w:h="16834"/>
          <w:pgMar w:top="568" w:right="569" w:bottom="1134" w:left="1701" w:header="720" w:footer="720" w:gutter="0"/>
          <w:cols w:num="2"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  <w:lang w:val="en-US"/>
        </w:rPr>
        <w:t>L</w:t>
      </w:r>
      <w:r w:rsidRPr="002D759F">
        <w:rPr>
          <w:b/>
          <w:i/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b/>
          <w:i/>
          <w:color w:val="0D0D0D" w:themeColor="text1" w:themeTint="F2"/>
          <w:sz w:val="24"/>
          <w:szCs w:val="24"/>
        </w:rPr>
        <w:t>Литомассы</w:t>
      </w:r>
      <w:proofErr w:type="spellEnd"/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Ls</w:t>
      </w:r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Силикатные и прочие некарбонатные породы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Lk</w:t>
      </w:r>
      <w:r w:rsidRPr="002D759F">
        <w:rPr>
          <w:color w:val="0D0D0D" w:themeColor="text1" w:themeTint="F2"/>
          <w:sz w:val="24"/>
          <w:szCs w:val="24"/>
        </w:rPr>
        <w:t xml:space="preserve"> – Карбонатные породы и породы с высоким содержанием легкорастворимых солей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Lb</w:t>
      </w:r>
      <w:r w:rsidRPr="002D759F">
        <w:rPr>
          <w:color w:val="0D0D0D" w:themeColor="text1" w:themeTint="F2"/>
          <w:sz w:val="24"/>
          <w:szCs w:val="24"/>
        </w:rPr>
        <w:t xml:space="preserve"> – Породы </w:t>
      </w:r>
      <w:proofErr w:type="spellStart"/>
      <w:r w:rsidRPr="002D759F">
        <w:rPr>
          <w:color w:val="0D0D0D" w:themeColor="text1" w:themeTint="F2"/>
          <w:sz w:val="24"/>
          <w:szCs w:val="24"/>
        </w:rPr>
        <w:t>кор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выветривания и выветренные горные породы</w:t>
      </w:r>
    </w:p>
    <w:p w:rsidR="00FE45A8" w:rsidRPr="002D759F" w:rsidRDefault="00FE45A8" w:rsidP="00FE45A8">
      <w:pPr>
        <w:ind w:firstLine="0"/>
        <w:jc w:val="center"/>
        <w:rPr>
          <w:b/>
          <w:i/>
          <w:color w:val="0D0D0D" w:themeColor="text1" w:themeTint="F2"/>
          <w:sz w:val="24"/>
          <w:szCs w:val="24"/>
        </w:rPr>
      </w:pPr>
      <w:r w:rsidRPr="002D759F">
        <w:rPr>
          <w:b/>
          <w:i/>
          <w:color w:val="0D0D0D" w:themeColor="text1" w:themeTint="F2"/>
          <w:sz w:val="24"/>
          <w:szCs w:val="24"/>
        </w:rPr>
        <w:t>Н – Гидромассы</w:t>
      </w:r>
    </w:p>
    <w:p w:rsidR="002D759F" w:rsidRPr="002D759F" w:rsidRDefault="002D759F" w:rsidP="00FE45A8">
      <w:pPr>
        <w:ind w:firstLine="0"/>
        <w:rPr>
          <w:i/>
          <w:color w:val="0D0D0D" w:themeColor="text1" w:themeTint="F2"/>
          <w:sz w:val="24"/>
          <w:szCs w:val="24"/>
          <w:lang w:val="en-US"/>
        </w:rPr>
        <w:sectPr w:rsidR="002D759F" w:rsidRPr="002D759F" w:rsidSect="00B572E5">
          <w:type w:val="continuous"/>
          <w:pgSz w:w="11909" w:h="16834"/>
          <w:pgMar w:top="568" w:right="569" w:bottom="1134" w:left="1701" w:header="720" w:footer="720" w:gutter="0"/>
          <w:cols w:space="708"/>
          <w:noEndnote/>
          <w:docGrid w:linePitch="299"/>
        </w:sectPr>
      </w:pP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Hp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В атмосфере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proofErr w:type="gramStart"/>
      <w:r w:rsidRPr="002D759F">
        <w:rPr>
          <w:i/>
          <w:color w:val="0D0D0D" w:themeColor="text1" w:themeTint="F2"/>
          <w:sz w:val="24"/>
          <w:szCs w:val="24"/>
          <w:lang w:val="en-US"/>
        </w:rPr>
        <w:t>Hn</w:t>
      </w:r>
      <w:proofErr w:type="spellEnd"/>
      <w:proofErr w:type="gramEnd"/>
      <w:r w:rsidRPr="002D759F">
        <w:rPr>
          <w:color w:val="0D0D0D" w:themeColor="text1" w:themeTint="F2"/>
          <w:sz w:val="24"/>
          <w:szCs w:val="24"/>
        </w:rPr>
        <w:t xml:space="preserve"> – Снежные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Hb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В виде льда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Hm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В болотах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i/>
          <w:color w:val="0D0D0D" w:themeColor="text1" w:themeTint="F2"/>
          <w:sz w:val="24"/>
          <w:szCs w:val="24"/>
          <w:lang w:val="en-US"/>
        </w:rPr>
        <w:t>Hf</w:t>
      </w:r>
      <w:proofErr w:type="spellEnd"/>
      <w:r w:rsidRPr="002D759F">
        <w:rPr>
          <w:i/>
          <w:color w:val="0D0D0D" w:themeColor="text1" w:themeTint="F2"/>
          <w:sz w:val="24"/>
          <w:szCs w:val="24"/>
        </w:rPr>
        <w:t xml:space="preserve"> </w:t>
      </w:r>
      <w:r w:rsidRPr="002D759F">
        <w:rPr>
          <w:color w:val="0D0D0D" w:themeColor="text1" w:themeTint="F2"/>
          <w:sz w:val="24"/>
          <w:szCs w:val="24"/>
        </w:rPr>
        <w:t>– В различных водоемах</w:t>
      </w:r>
    </w:p>
    <w:p w:rsidR="00FE45A8" w:rsidRPr="002D759F" w:rsidRDefault="00FE45A8" w:rsidP="00FE45A8">
      <w:pPr>
        <w:ind w:firstLine="0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Hs</w:t>
      </w:r>
      <w:r w:rsidRPr="002D759F">
        <w:rPr>
          <w:color w:val="0D0D0D" w:themeColor="text1" w:themeTint="F2"/>
          <w:sz w:val="24"/>
          <w:szCs w:val="24"/>
        </w:rPr>
        <w:t xml:space="preserve"> – В почве</w:t>
      </w:r>
    </w:p>
    <w:p w:rsidR="00FE45A8" w:rsidRPr="002D759F" w:rsidRDefault="00FE45A8" w:rsidP="002D759F">
      <w:pPr>
        <w:ind w:firstLine="142"/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Hs</w:t>
      </w:r>
      <w:r w:rsidRPr="002D759F">
        <w:rPr>
          <w:i/>
          <w:color w:val="0D0D0D" w:themeColor="text1" w:themeTint="F2"/>
          <w:sz w:val="24"/>
          <w:szCs w:val="24"/>
        </w:rPr>
        <w:t>’”</w:t>
      </w:r>
      <w:r w:rsidRPr="002D759F">
        <w:rPr>
          <w:color w:val="0D0D0D" w:themeColor="text1" w:themeTint="F2"/>
          <w:sz w:val="24"/>
          <w:szCs w:val="24"/>
        </w:rPr>
        <w:t xml:space="preserve"> – избыточное содержание влаги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Hs</w:t>
      </w:r>
      <w:r w:rsidRPr="002D759F">
        <w:rPr>
          <w:i/>
          <w:color w:val="0D0D0D" w:themeColor="text1" w:themeTint="F2"/>
          <w:sz w:val="24"/>
          <w:szCs w:val="24"/>
        </w:rPr>
        <w:t>”</w:t>
      </w:r>
      <w:r w:rsidRPr="002D759F">
        <w:rPr>
          <w:color w:val="0D0D0D" w:themeColor="text1" w:themeTint="F2"/>
          <w:sz w:val="24"/>
          <w:szCs w:val="24"/>
        </w:rPr>
        <w:t xml:space="preserve"> – оптимальное </w:t>
      </w: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  <w:r w:rsidRPr="002D759F">
        <w:rPr>
          <w:i/>
          <w:color w:val="0D0D0D" w:themeColor="text1" w:themeTint="F2"/>
          <w:sz w:val="24"/>
          <w:szCs w:val="24"/>
          <w:lang w:val="en-US"/>
        </w:rPr>
        <w:t>Hs</w:t>
      </w:r>
      <w:r w:rsidRPr="002D759F">
        <w:rPr>
          <w:i/>
          <w:color w:val="0D0D0D" w:themeColor="text1" w:themeTint="F2"/>
          <w:sz w:val="24"/>
          <w:szCs w:val="24"/>
        </w:rPr>
        <w:t>’</w:t>
      </w:r>
      <w:r w:rsidRPr="002D759F">
        <w:rPr>
          <w:color w:val="0D0D0D" w:themeColor="text1" w:themeTint="F2"/>
          <w:sz w:val="24"/>
          <w:szCs w:val="24"/>
        </w:rPr>
        <w:t xml:space="preserve"> – недостаточное </w:t>
      </w:r>
    </w:p>
    <w:p w:rsidR="002D759F" w:rsidRPr="002D759F" w:rsidRDefault="002D759F" w:rsidP="00FE45A8">
      <w:pPr>
        <w:rPr>
          <w:color w:val="0D0D0D" w:themeColor="text1" w:themeTint="F2"/>
          <w:sz w:val="24"/>
          <w:szCs w:val="24"/>
        </w:rPr>
        <w:sectPr w:rsidR="002D759F" w:rsidRPr="002D759F" w:rsidSect="002D759F">
          <w:type w:val="continuous"/>
          <w:pgSz w:w="11909" w:h="16834"/>
          <w:pgMar w:top="568" w:right="569" w:bottom="1134" w:left="1701" w:header="720" w:footer="720" w:gutter="0"/>
          <w:cols w:num="2" w:space="708"/>
          <w:noEndnote/>
          <w:docGrid w:linePitch="299"/>
        </w:sectPr>
      </w:pPr>
    </w:p>
    <w:p w:rsidR="00FE45A8" w:rsidRPr="002D759F" w:rsidRDefault="00FE45A8" w:rsidP="00FE45A8">
      <w:pPr>
        <w:rPr>
          <w:color w:val="0D0D0D" w:themeColor="text1" w:themeTint="F2"/>
          <w:sz w:val="24"/>
          <w:szCs w:val="24"/>
        </w:rPr>
      </w:pPr>
    </w:p>
    <w:p w:rsidR="002D759F" w:rsidRPr="002D759F" w:rsidRDefault="002D759F" w:rsidP="00FE45A8">
      <w:pPr>
        <w:rPr>
          <w:color w:val="0D0D0D" w:themeColor="text1" w:themeTint="F2"/>
          <w:sz w:val="24"/>
          <w:szCs w:val="24"/>
        </w:rPr>
      </w:pPr>
    </w:p>
    <w:p w:rsidR="001939FF" w:rsidRPr="002D759F" w:rsidRDefault="001939FF" w:rsidP="002C27A6">
      <w:pPr>
        <w:ind w:firstLine="0"/>
        <w:rPr>
          <w:i/>
          <w:color w:val="0D0D0D" w:themeColor="text1" w:themeTint="F2"/>
          <w:sz w:val="24"/>
          <w:szCs w:val="24"/>
        </w:rPr>
      </w:pPr>
    </w:p>
    <w:p w:rsidR="001939FF" w:rsidRPr="002D759F" w:rsidRDefault="001939FF" w:rsidP="002C27A6">
      <w:pPr>
        <w:ind w:firstLine="0"/>
        <w:rPr>
          <w:i/>
          <w:color w:val="0D0D0D" w:themeColor="text1" w:themeTint="F2"/>
          <w:sz w:val="24"/>
          <w:szCs w:val="24"/>
        </w:rPr>
      </w:pPr>
    </w:p>
    <w:p w:rsidR="00F962E6" w:rsidRPr="002D759F" w:rsidRDefault="00F962E6" w:rsidP="00F962E6">
      <w:pPr>
        <w:autoSpaceDE w:val="0"/>
        <w:autoSpaceDN w:val="0"/>
        <w:adjustRightInd w:val="0"/>
        <w:ind w:firstLine="720"/>
        <w:jc w:val="center"/>
        <w:rPr>
          <w:b/>
          <w:color w:val="0D0D0D" w:themeColor="text1" w:themeTint="F2"/>
          <w:sz w:val="24"/>
          <w:szCs w:val="24"/>
        </w:rPr>
      </w:pPr>
      <w:r w:rsidRPr="002D759F">
        <w:rPr>
          <w:b/>
          <w:color w:val="0D0D0D" w:themeColor="text1" w:themeTint="F2"/>
          <w:sz w:val="24"/>
          <w:szCs w:val="24"/>
        </w:rPr>
        <w:lastRenderedPageBreak/>
        <w:t>Зарисовка вертикального профиля природно-территориального комплекса</w:t>
      </w:r>
    </w:p>
    <w:p w:rsidR="00F962E6" w:rsidRPr="002D759F" w:rsidRDefault="00F962E6" w:rsidP="00F962E6">
      <w:pPr>
        <w:autoSpaceDE w:val="0"/>
        <w:autoSpaceDN w:val="0"/>
        <w:adjustRightInd w:val="0"/>
        <w:ind w:firstLine="720"/>
        <w:rPr>
          <w:color w:val="0D0D0D" w:themeColor="text1" w:themeTint="F2"/>
          <w:sz w:val="24"/>
          <w:szCs w:val="24"/>
        </w:rPr>
      </w:pPr>
    </w:p>
    <w:p w:rsidR="00F962E6" w:rsidRPr="002D759F" w:rsidRDefault="00F962E6" w:rsidP="00FE45A8">
      <w:pPr>
        <w:autoSpaceDE w:val="0"/>
        <w:autoSpaceDN w:val="0"/>
        <w:adjustRightInd w:val="0"/>
        <w:ind w:firstLine="0"/>
        <w:jc w:val="center"/>
        <w:rPr>
          <w:color w:val="0D0D0D" w:themeColor="text1" w:themeTint="F2"/>
          <w:sz w:val="24"/>
          <w:szCs w:val="24"/>
        </w:rPr>
      </w:pPr>
      <w:bookmarkStart w:id="0" w:name="_GoBack"/>
      <w:r w:rsidRPr="002D759F">
        <w:rPr>
          <w:noProof/>
          <w:color w:val="0D0D0D" w:themeColor="text1" w:themeTint="F2"/>
          <w:sz w:val="24"/>
          <w:szCs w:val="24"/>
          <w:lang w:val="en-US"/>
        </w:rPr>
        <w:drawing>
          <wp:inline distT="0" distB="0" distL="0" distR="0">
            <wp:extent cx="5406390" cy="7416296"/>
            <wp:effectExtent l="0" t="0" r="3810" b="0"/>
            <wp:docPr id="3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57" r="4149" b="1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55" cy="74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Pf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фитомасса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однолетних листьев древесно-кустарниковых растений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Pt</w:t>
      </w:r>
      <w:r w:rsidRPr="002D759F">
        <w:rPr>
          <w:color w:val="0D0D0D" w:themeColor="text1" w:themeTint="F2"/>
          <w:sz w:val="24"/>
          <w:szCs w:val="24"/>
        </w:rPr>
        <w:t xml:space="preserve"> – транспортно-скелетные органы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Pi</w:t>
      </w:r>
      <w:r w:rsidRPr="002D759F">
        <w:rPr>
          <w:color w:val="0D0D0D" w:themeColor="text1" w:themeTint="F2"/>
          <w:sz w:val="24"/>
          <w:szCs w:val="24"/>
        </w:rPr>
        <w:t xml:space="preserve"> – листья и стебли травянистых растений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Pg</w:t>
      </w:r>
      <w:r w:rsidRPr="002D759F">
        <w:rPr>
          <w:color w:val="0D0D0D" w:themeColor="text1" w:themeTint="F2"/>
          <w:sz w:val="24"/>
          <w:szCs w:val="24"/>
        </w:rPr>
        <w:t xml:space="preserve"> – генеративные органы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Ml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мортмасса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подстилки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color w:val="0D0D0D" w:themeColor="text1" w:themeTint="F2"/>
          <w:sz w:val="24"/>
          <w:szCs w:val="24"/>
          <w:lang w:val="en-US"/>
        </w:rPr>
        <w:t>Sss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педомасса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среднесуглинистая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proofErr w:type="spellStart"/>
      <w:r w:rsidRPr="002D759F">
        <w:rPr>
          <w:color w:val="0D0D0D" w:themeColor="text1" w:themeTint="F2"/>
          <w:sz w:val="24"/>
          <w:szCs w:val="24"/>
          <w:lang w:val="en-US"/>
        </w:rPr>
        <w:t>Sas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педомасса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тяжелосуглинистая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Lb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spellStart"/>
      <w:r w:rsidRPr="002D759F">
        <w:rPr>
          <w:color w:val="0D0D0D" w:themeColor="text1" w:themeTint="F2"/>
          <w:sz w:val="24"/>
          <w:szCs w:val="24"/>
        </w:rPr>
        <w:t>выветрелые</w:t>
      </w:r>
      <w:proofErr w:type="spellEnd"/>
      <w:r w:rsidRPr="002D759F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D759F">
        <w:rPr>
          <w:color w:val="0D0D0D" w:themeColor="text1" w:themeTint="F2"/>
          <w:sz w:val="24"/>
          <w:szCs w:val="24"/>
        </w:rPr>
        <w:t>литомассы</w:t>
      </w:r>
      <w:proofErr w:type="spellEnd"/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color w:val="0D0D0D" w:themeColor="text1" w:themeTint="F2"/>
          <w:sz w:val="24"/>
          <w:szCs w:val="24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>Hs</w:t>
      </w:r>
      <w:r w:rsidRPr="002D759F">
        <w:rPr>
          <w:color w:val="0D0D0D" w:themeColor="text1" w:themeTint="F2"/>
          <w:sz w:val="24"/>
          <w:szCs w:val="24"/>
        </w:rPr>
        <w:t xml:space="preserve"> – </w:t>
      </w:r>
      <w:proofErr w:type="gramStart"/>
      <w:r w:rsidRPr="002D759F">
        <w:rPr>
          <w:color w:val="0D0D0D" w:themeColor="text1" w:themeTint="F2"/>
          <w:sz w:val="24"/>
          <w:szCs w:val="24"/>
        </w:rPr>
        <w:t>почвенные</w:t>
      </w:r>
      <w:proofErr w:type="gramEnd"/>
      <w:r w:rsidRPr="002D759F">
        <w:rPr>
          <w:color w:val="0D0D0D" w:themeColor="text1" w:themeTint="F2"/>
          <w:sz w:val="24"/>
          <w:szCs w:val="24"/>
        </w:rPr>
        <w:t xml:space="preserve"> гидромассы</w:t>
      </w:r>
    </w:p>
    <w:p w:rsidR="00F962E6" w:rsidRPr="002D759F" w:rsidRDefault="00F962E6" w:rsidP="00F962E6">
      <w:pPr>
        <w:autoSpaceDE w:val="0"/>
        <w:autoSpaceDN w:val="0"/>
        <w:adjustRightInd w:val="0"/>
        <w:ind w:left="851" w:firstLine="720"/>
        <w:rPr>
          <w:rFonts w:eastAsiaTheme="minorEastAsia"/>
          <w:color w:val="C00000"/>
          <w:sz w:val="24"/>
          <w:szCs w:val="24"/>
          <w:lang w:eastAsia="ru-RU"/>
        </w:rPr>
      </w:pPr>
      <w:r w:rsidRPr="002D759F">
        <w:rPr>
          <w:color w:val="0D0D0D" w:themeColor="text1" w:themeTint="F2"/>
          <w:sz w:val="24"/>
          <w:szCs w:val="24"/>
          <w:lang w:val="en-US"/>
        </w:rPr>
        <w:t xml:space="preserve">A – </w:t>
      </w:r>
      <w:proofErr w:type="spellStart"/>
      <w:proofErr w:type="gramStart"/>
      <w:r w:rsidRPr="002D759F">
        <w:rPr>
          <w:color w:val="0D0D0D" w:themeColor="text1" w:themeTint="F2"/>
          <w:sz w:val="24"/>
          <w:szCs w:val="24"/>
        </w:rPr>
        <w:t>аэромассы</w:t>
      </w:r>
      <w:proofErr w:type="spellEnd"/>
      <w:proofErr w:type="gramEnd"/>
    </w:p>
    <w:sectPr w:rsidR="00F962E6" w:rsidRPr="002D759F" w:rsidSect="00B572E5">
      <w:type w:val="continuous"/>
      <w:pgSz w:w="11909" w:h="16834"/>
      <w:pgMar w:top="568" w:right="56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B"/>
    <w:rsid w:val="00131755"/>
    <w:rsid w:val="001855AB"/>
    <w:rsid w:val="001939FF"/>
    <w:rsid w:val="00270CF3"/>
    <w:rsid w:val="002C27A6"/>
    <w:rsid w:val="002D759F"/>
    <w:rsid w:val="00346FEE"/>
    <w:rsid w:val="00597A7C"/>
    <w:rsid w:val="0062329C"/>
    <w:rsid w:val="007016DB"/>
    <w:rsid w:val="007F5338"/>
    <w:rsid w:val="00844F04"/>
    <w:rsid w:val="00AF4C79"/>
    <w:rsid w:val="00B070B4"/>
    <w:rsid w:val="00B572E5"/>
    <w:rsid w:val="00B67C1A"/>
    <w:rsid w:val="00D31956"/>
    <w:rsid w:val="00D36A9F"/>
    <w:rsid w:val="00D6356C"/>
    <w:rsid w:val="00D91984"/>
    <w:rsid w:val="00E10BF3"/>
    <w:rsid w:val="00E602B7"/>
    <w:rsid w:val="00F57CE3"/>
    <w:rsid w:val="00F962E6"/>
    <w:rsid w:val="00FB39F4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6F5F-BBD8-48D3-A9BC-76CA9A3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6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967DE-1A89-4705-9F8B-7917AB2EF631}"/>
</file>

<file path=customXml/itemProps2.xml><?xml version="1.0" encoding="utf-8"?>
<ds:datastoreItem xmlns:ds="http://schemas.openxmlformats.org/officeDocument/2006/customXml" ds:itemID="{61983F55-C044-46DF-9B6F-C50C55CF8BE5}"/>
</file>

<file path=customXml/itemProps3.xml><?xml version="1.0" encoding="utf-8"?>
<ds:datastoreItem xmlns:ds="http://schemas.openxmlformats.org/officeDocument/2006/customXml" ds:itemID="{E05F4322-76AB-42A2-8110-A937348A4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Seasalt</cp:lastModifiedBy>
  <cp:revision>3</cp:revision>
  <cp:lastPrinted>2011-04-29T16:20:00Z</cp:lastPrinted>
  <dcterms:created xsi:type="dcterms:W3CDTF">2016-03-23T12:49:00Z</dcterms:created>
  <dcterms:modified xsi:type="dcterms:W3CDTF">2016-03-23T12:54:00Z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